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2201134</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b/>
          <w:bCs/>
          <w:sz w:val="26"/>
          <w:szCs w:val="26"/>
          <w:rtl/>
        </w:rPr>
      </w:pPr>
    </w:p>
    <w:p w14:paraId="7F6961AA" w14:textId="5C85692D" w:rsidR="00E13C27" w:rsidRPr="00CF1AA2" w:rsidRDefault="008F6665" w:rsidP="00AD7031">
      <w:pPr>
        <w:pStyle w:val="David"/>
        <w:spacing w:before="102"/>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5254744F" w:rsidR="00E13C27" w:rsidRPr="00E06736" w:rsidRDefault="00AD7031" w:rsidP="00904591">
      <w:pPr>
        <w:pStyle w:val="David"/>
        <w:spacing w:line="240" w:lineRule="auto"/>
        <w:ind w:left="3544"/>
        <w:rPr>
          <w:rtl/>
        </w:rPr>
      </w:pPr>
      <w:r>
        <w:rPr>
          <w:rtl/>
        </w:rPr>
        <w:tab/>
      </w:r>
      <w:r>
        <w:rPr>
          <w:rFonts w:hint="cs"/>
          <w:rtl/>
        </w:rPr>
        <w:t xml:space="preserve">     </w:t>
      </w:r>
      <w:r w:rsidR="00904591">
        <w:t xml:space="preserve">                                            </w:t>
      </w:r>
      <w:r w:rsidR="008F1308">
        <w:t xml:space="preserve"> </w:t>
      </w:r>
      <w:bookmarkStart w:id="6" w:name="Private_Number"/>
      <w:r w:rsidR="00904591">
        <w:rPr>
          <w:rFonts w:hint="cs"/>
          <w:rtl/>
        </w:rPr>
        <w:t>פ/2469/25</w:t>
      </w:r>
      <w:bookmarkEnd w:id="6"/>
    </w:p>
    <w:p w14:paraId="7F6961AC" w14:textId="77777777" w:rsidR="00E13C27" w:rsidRDefault="00E13C27" w:rsidP="00E13C27">
      <w:pPr>
        <w:ind w:left="2880" w:firstLine="720"/>
        <w:rPr>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למניעת תשדירי פרסומת פוגעניים (תיקוני חקיקה), התשפ"ג–2023</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624"/>
        <w:gridCol w:w="624"/>
        <w:gridCol w:w="5895"/>
      </w:tblGrid>
      <w:tr w:rsidR="004B4C4C" w14:paraId="06E95E17" w14:textId="77777777" w:rsidTr="00AD7031">
        <w:trPr>
          <w:cantSplit/>
        </w:trPr>
        <w:tc>
          <w:tcPr>
            <w:tcW w:w="1871" w:type="dxa"/>
          </w:tcPr>
          <w:p w14:paraId="329B7878" w14:textId="4330B443" w:rsidR="004B4C4C" w:rsidRDefault="004B4C4C" w:rsidP="002B3E67">
            <w:pPr>
              <w:pStyle w:val="TableSideHeading"/>
              <w:rPr>
                <w:rtl/>
              </w:rPr>
            </w:pPr>
            <w:r w:rsidRPr="00FC4E9E">
              <w:rPr>
                <w:rtl/>
              </w:rPr>
              <w:t>תיקון חוק השידור הציבורי הישראלי</w:t>
            </w:r>
          </w:p>
        </w:tc>
        <w:tc>
          <w:tcPr>
            <w:tcW w:w="624" w:type="dxa"/>
          </w:tcPr>
          <w:p w14:paraId="1169668B" w14:textId="4080F12F" w:rsidR="004B4C4C" w:rsidRDefault="004B4C4C" w:rsidP="002B3E67">
            <w:pPr>
              <w:pStyle w:val="TableText"/>
            </w:pPr>
            <w:r w:rsidRPr="00FC4E9E">
              <w:rPr>
                <w:rtl/>
              </w:rPr>
              <w:t>1.</w:t>
            </w:r>
          </w:p>
        </w:tc>
        <w:tc>
          <w:tcPr>
            <w:tcW w:w="7143" w:type="dxa"/>
            <w:gridSpan w:val="3"/>
          </w:tcPr>
          <w:p w14:paraId="138F98E6" w14:textId="7C44F5B5" w:rsidR="004B4C4C" w:rsidRPr="004B4C4C" w:rsidRDefault="004B4C4C" w:rsidP="00AD7031">
            <w:pPr>
              <w:pStyle w:val="TableBlock"/>
            </w:pPr>
            <w:r w:rsidRPr="004B4C4C">
              <w:rPr>
                <w:rtl/>
              </w:rPr>
              <w:t>בחוק השידור הציבורי הישראלי, התשע"ד–2014</w:t>
            </w:r>
            <w:r w:rsidRPr="00AD7031">
              <w:rPr>
                <w:rFonts w:ascii="David" w:hAnsi="David"/>
                <w:sz w:val="26"/>
                <w:vertAlign w:val="superscript"/>
                <w:rtl/>
              </w:rPr>
              <w:footnoteReference w:id="2"/>
            </w:r>
            <w:r w:rsidRPr="004B4C4C">
              <w:rPr>
                <w:rtl/>
              </w:rPr>
              <w:t xml:space="preserve"> –</w:t>
            </w:r>
          </w:p>
        </w:tc>
      </w:tr>
      <w:tr w:rsidR="004B4C4C" w14:paraId="1B3ED9E1" w14:textId="77777777" w:rsidTr="00AD7031">
        <w:trPr>
          <w:cantSplit/>
        </w:trPr>
        <w:tc>
          <w:tcPr>
            <w:tcW w:w="1871" w:type="dxa"/>
          </w:tcPr>
          <w:p w14:paraId="41CB441D" w14:textId="77777777" w:rsidR="004B4C4C" w:rsidRDefault="004B4C4C" w:rsidP="002B3E67">
            <w:pPr>
              <w:pStyle w:val="TableSideHeading"/>
            </w:pPr>
          </w:p>
        </w:tc>
        <w:tc>
          <w:tcPr>
            <w:tcW w:w="624" w:type="dxa"/>
          </w:tcPr>
          <w:p w14:paraId="2E00E95F" w14:textId="77777777" w:rsidR="004B4C4C" w:rsidRDefault="004B4C4C" w:rsidP="004B4C4C">
            <w:pPr>
              <w:pStyle w:val="TableText"/>
            </w:pPr>
          </w:p>
        </w:tc>
        <w:tc>
          <w:tcPr>
            <w:tcW w:w="7143" w:type="dxa"/>
            <w:gridSpan w:val="3"/>
          </w:tcPr>
          <w:p w14:paraId="7405BD5F" w14:textId="72274761" w:rsidR="004B4C4C" w:rsidRDefault="004B4C4C" w:rsidP="00AD7031">
            <w:pPr>
              <w:pStyle w:val="TableBlock"/>
            </w:pPr>
            <w:r>
              <w:rPr>
                <w:rtl/>
              </w:rPr>
              <w:t>(1)</w:t>
            </w:r>
            <w:r>
              <w:rPr>
                <w:rtl/>
              </w:rPr>
              <w:tab/>
              <w:t>בסעיף 11(12), בסופו יבוא</w:t>
            </w:r>
            <w:r w:rsidRPr="00FC4E9E">
              <w:rPr>
                <w:rtl/>
              </w:rPr>
              <w:t xml:space="preserve"> "ובכלל זה לתשדירי פרסומת כאמור בסעיף 75."</w:t>
            </w:r>
          </w:p>
        </w:tc>
      </w:tr>
      <w:tr w:rsidR="004B4C4C" w14:paraId="0C97CB0B" w14:textId="77777777" w:rsidTr="00AD7031">
        <w:trPr>
          <w:cantSplit/>
        </w:trPr>
        <w:tc>
          <w:tcPr>
            <w:tcW w:w="1871" w:type="dxa"/>
          </w:tcPr>
          <w:p w14:paraId="21998D3D" w14:textId="77777777" w:rsidR="004B4C4C" w:rsidRDefault="004B4C4C" w:rsidP="004B4C4C">
            <w:pPr>
              <w:pStyle w:val="TableSideHeading"/>
            </w:pPr>
          </w:p>
        </w:tc>
        <w:tc>
          <w:tcPr>
            <w:tcW w:w="624" w:type="dxa"/>
          </w:tcPr>
          <w:p w14:paraId="1ACC2B3D" w14:textId="77777777" w:rsidR="004B4C4C" w:rsidRDefault="004B4C4C" w:rsidP="004B4C4C">
            <w:pPr>
              <w:pStyle w:val="TableText"/>
            </w:pPr>
          </w:p>
        </w:tc>
        <w:tc>
          <w:tcPr>
            <w:tcW w:w="7143" w:type="dxa"/>
            <w:gridSpan w:val="3"/>
          </w:tcPr>
          <w:p w14:paraId="25A380FA" w14:textId="04C68A31" w:rsidR="004B4C4C" w:rsidRPr="00FC4E9E" w:rsidRDefault="004B4C4C" w:rsidP="00AD7031">
            <w:pPr>
              <w:pStyle w:val="TableBlock"/>
              <w:rPr>
                <w:rtl/>
              </w:rPr>
            </w:pPr>
            <w:r w:rsidRPr="00FC4E9E">
              <w:rPr>
                <w:rtl/>
              </w:rPr>
              <w:t>(2)</w:t>
            </w:r>
            <w:r w:rsidRPr="00FC4E9E">
              <w:rPr>
                <w:rtl/>
              </w:rPr>
              <w:tab/>
              <w:t xml:space="preserve">בסעיף 75, במקום הסיפה החל במילים "פוגעים בטעם הטוב" יבוא: </w:t>
            </w:r>
          </w:p>
        </w:tc>
      </w:tr>
      <w:tr w:rsidR="004B4C4C" w14:paraId="56EA27AD" w14:textId="77777777" w:rsidTr="00AD7031">
        <w:trPr>
          <w:cantSplit/>
        </w:trPr>
        <w:tc>
          <w:tcPr>
            <w:tcW w:w="1871" w:type="dxa"/>
          </w:tcPr>
          <w:p w14:paraId="4FB02868" w14:textId="77777777" w:rsidR="004B4C4C" w:rsidRDefault="004B4C4C">
            <w:pPr>
              <w:pStyle w:val="TableSideHeading"/>
            </w:pPr>
          </w:p>
        </w:tc>
        <w:tc>
          <w:tcPr>
            <w:tcW w:w="624" w:type="dxa"/>
          </w:tcPr>
          <w:p w14:paraId="340AF6DF" w14:textId="77777777" w:rsidR="004B4C4C" w:rsidRDefault="004B4C4C">
            <w:pPr>
              <w:pStyle w:val="TableText"/>
            </w:pPr>
          </w:p>
        </w:tc>
        <w:tc>
          <w:tcPr>
            <w:tcW w:w="624" w:type="dxa"/>
          </w:tcPr>
          <w:p w14:paraId="23ADA1BB" w14:textId="77777777" w:rsidR="004B4C4C" w:rsidRDefault="004B4C4C">
            <w:pPr>
              <w:pStyle w:val="TableText"/>
            </w:pPr>
          </w:p>
        </w:tc>
        <w:tc>
          <w:tcPr>
            <w:tcW w:w="6519" w:type="dxa"/>
            <w:gridSpan w:val="2"/>
          </w:tcPr>
          <w:p w14:paraId="572238CE" w14:textId="64388E62" w:rsidR="004B4C4C" w:rsidRDefault="004B4C4C" w:rsidP="00AD7031">
            <w:pPr>
              <w:pStyle w:val="TableBlock"/>
            </w:pPr>
            <w:r w:rsidRPr="00FC4E9E">
              <w:rPr>
                <w:rtl/>
              </w:rPr>
              <w:t>"אחד מאלה:</w:t>
            </w:r>
          </w:p>
        </w:tc>
      </w:tr>
      <w:tr w:rsidR="004B4C4C" w14:paraId="64451272" w14:textId="77777777" w:rsidTr="00AD7031">
        <w:trPr>
          <w:cantSplit/>
        </w:trPr>
        <w:tc>
          <w:tcPr>
            <w:tcW w:w="1871" w:type="dxa"/>
          </w:tcPr>
          <w:p w14:paraId="700106D0" w14:textId="77777777" w:rsidR="004B4C4C" w:rsidRDefault="004B4C4C" w:rsidP="004B4C4C">
            <w:pPr>
              <w:pStyle w:val="TableSideHeading"/>
            </w:pPr>
          </w:p>
        </w:tc>
        <w:tc>
          <w:tcPr>
            <w:tcW w:w="624" w:type="dxa"/>
          </w:tcPr>
          <w:p w14:paraId="726F5A23" w14:textId="77777777" w:rsidR="004B4C4C" w:rsidRDefault="004B4C4C" w:rsidP="004B4C4C">
            <w:pPr>
              <w:pStyle w:val="TableText"/>
            </w:pPr>
          </w:p>
        </w:tc>
        <w:tc>
          <w:tcPr>
            <w:tcW w:w="624" w:type="dxa"/>
          </w:tcPr>
          <w:p w14:paraId="34E1E53B" w14:textId="77777777" w:rsidR="004B4C4C" w:rsidRDefault="004B4C4C" w:rsidP="004B4C4C">
            <w:pPr>
              <w:pStyle w:val="TableText"/>
            </w:pPr>
          </w:p>
        </w:tc>
        <w:tc>
          <w:tcPr>
            <w:tcW w:w="624" w:type="dxa"/>
          </w:tcPr>
          <w:p w14:paraId="5923CD4B" w14:textId="77777777" w:rsidR="004B4C4C" w:rsidRDefault="004B4C4C" w:rsidP="004B4C4C">
            <w:pPr>
              <w:pStyle w:val="TableText"/>
            </w:pPr>
          </w:p>
        </w:tc>
        <w:tc>
          <w:tcPr>
            <w:tcW w:w="5895" w:type="dxa"/>
          </w:tcPr>
          <w:p w14:paraId="4D878D50" w14:textId="60F168A9" w:rsidR="004B4C4C" w:rsidRDefault="004B4C4C" w:rsidP="00AD7031">
            <w:pPr>
              <w:pStyle w:val="TableBlock"/>
            </w:pPr>
            <w:r w:rsidRPr="00FC4E9E">
              <w:rPr>
                <w:rtl/>
              </w:rPr>
              <w:t>(1)</w:t>
            </w:r>
            <w:r w:rsidRPr="00FC4E9E">
              <w:rPr>
                <w:rtl/>
              </w:rPr>
              <w:tab/>
              <w:t>פוגעים בטעם הטוב, ברגשות הציבור או בשלום הציבור;</w:t>
            </w:r>
          </w:p>
        </w:tc>
      </w:tr>
      <w:tr w:rsidR="004B4C4C" w14:paraId="4154D8C4" w14:textId="77777777" w:rsidTr="00AD7031">
        <w:trPr>
          <w:cantSplit/>
        </w:trPr>
        <w:tc>
          <w:tcPr>
            <w:tcW w:w="1871" w:type="dxa"/>
          </w:tcPr>
          <w:p w14:paraId="4341CB0E" w14:textId="77777777" w:rsidR="004B4C4C" w:rsidRDefault="004B4C4C" w:rsidP="004B4C4C">
            <w:pPr>
              <w:pStyle w:val="TableSideHeading"/>
            </w:pPr>
          </w:p>
        </w:tc>
        <w:tc>
          <w:tcPr>
            <w:tcW w:w="624" w:type="dxa"/>
          </w:tcPr>
          <w:p w14:paraId="4E17BBD1" w14:textId="77777777" w:rsidR="004B4C4C" w:rsidRDefault="004B4C4C" w:rsidP="004B4C4C">
            <w:pPr>
              <w:pStyle w:val="TableText"/>
            </w:pPr>
          </w:p>
        </w:tc>
        <w:tc>
          <w:tcPr>
            <w:tcW w:w="624" w:type="dxa"/>
          </w:tcPr>
          <w:p w14:paraId="7F8D11B2" w14:textId="77777777" w:rsidR="004B4C4C" w:rsidRDefault="004B4C4C" w:rsidP="004B4C4C">
            <w:pPr>
              <w:pStyle w:val="TableText"/>
            </w:pPr>
          </w:p>
        </w:tc>
        <w:tc>
          <w:tcPr>
            <w:tcW w:w="624" w:type="dxa"/>
          </w:tcPr>
          <w:p w14:paraId="61ECD286" w14:textId="77777777" w:rsidR="004B4C4C" w:rsidRDefault="004B4C4C" w:rsidP="004B4C4C">
            <w:pPr>
              <w:pStyle w:val="TableText"/>
            </w:pPr>
          </w:p>
        </w:tc>
        <w:tc>
          <w:tcPr>
            <w:tcW w:w="5895" w:type="dxa"/>
          </w:tcPr>
          <w:p w14:paraId="55553811" w14:textId="5625FDA5" w:rsidR="004B4C4C" w:rsidRDefault="004B4C4C" w:rsidP="00AD7031">
            <w:pPr>
              <w:pStyle w:val="TableBlock"/>
            </w:pPr>
            <w:r w:rsidRPr="00FC4E9E">
              <w:rPr>
                <w:rtl/>
              </w:rPr>
              <w:t>(2)</w:t>
            </w:r>
            <w:r w:rsidRPr="00FC4E9E">
              <w:rPr>
                <w:rtl/>
              </w:rPr>
              <w:tab/>
              <w:t xml:space="preserve">מציגים או מתארים אדם כאובייקט מיני או מציגים את מיניותו באופן מבזה ומשפיל; </w:t>
            </w:r>
          </w:p>
        </w:tc>
      </w:tr>
      <w:tr w:rsidR="004B4C4C" w14:paraId="1FD80AC6" w14:textId="77777777" w:rsidTr="00AD7031">
        <w:trPr>
          <w:cantSplit/>
        </w:trPr>
        <w:tc>
          <w:tcPr>
            <w:tcW w:w="1871" w:type="dxa"/>
          </w:tcPr>
          <w:p w14:paraId="7A196E41" w14:textId="77777777" w:rsidR="004B4C4C" w:rsidRDefault="004B4C4C" w:rsidP="004B4C4C">
            <w:pPr>
              <w:pStyle w:val="TableSideHeading"/>
            </w:pPr>
          </w:p>
        </w:tc>
        <w:tc>
          <w:tcPr>
            <w:tcW w:w="624" w:type="dxa"/>
          </w:tcPr>
          <w:p w14:paraId="3CA7B3E4" w14:textId="77777777" w:rsidR="004B4C4C" w:rsidRDefault="004B4C4C" w:rsidP="004B4C4C">
            <w:pPr>
              <w:pStyle w:val="TableText"/>
            </w:pPr>
          </w:p>
        </w:tc>
        <w:tc>
          <w:tcPr>
            <w:tcW w:w="624" w:type="dxa"/>
          </w:tcPr>
          <w:p w14:paraId="08AD0A79" w14:textId="77777777" w:rsidR="004B4C4C" w:rsidRDefault="004B4C4C" w:rsidP="004B4C4C">
            <w:pPr>
              <w:pStyle w:val="TableText"/>
            </w:pPr>
          </w:p>
        </w:tc>
        <w:tc>
          <w:tcPr>
            <w:tcW w:w="624" w:type="dxa"/>
          </w:tcPr>
          <w:p w14:paraId="717772DC" w14:textId="77777777" w:rsidR="004B4C4C" w:rsidRDefault="004B4C4C" w:rsidP="004B4C4C">
            <w:pPr>
              <w:pStyle w:val="TableText"/>
            </w:pPr>
          </w:p>
        </w:tc>
        <w:tc>
          <w:tcPr>
            <w:tcW w:w="5895" w:type="dxa"/>
          </w:tcPr>
          <w:p w14:paraId="0E7E56E3" w14:textId="58B70DE6" w:rsidR="004B4C4C" w:rsidRDefault="004B4C4C" w:rsidP="00AD7031">
            <w:pPr>
              <w:pStyle w:val="TableBlock"/>
            </w:pPr>
            <w:r w:rsidRPr="00FC4E9E">
              <w:rPr>
                <w:rtl/>
              </w:rPr>
              <w:t>(3)</w:t>
            </w:r>
            <w:r w:rsidRPr="00FC4E9E">
              <w:rPr>
                <w:rtl/>
              </w:rPr>
              <w:tab/>
              <w:t xml:space="preserve">מציגים מין מסוים כנחות מבחינה חברתית, כלכלית או תרבותית מהמין השני, או באופן </w:t>
            </w:r>
            <w:hyperlink r:id="rId11" w:tooltip="הכללה (למידה)" w:history="1">
              <w:r w:rsidRPr="00FC4E9E">
                <w:rPr>
                  <w:rtl/>
                </w:rPr>
                <w:t>מכליל</w:t>
              </w:r>
            </w:hyperlink>
            <w:r w:rsidRPr="00FC4E9E">
              <w:rPr>
                <w:rtl/>
              </w:rPr>
              <w:t>, בין היתר, בכל הנוגע למאפייני אישיות או תעסוקה."</w:t>
            </w:r>
          </w:p>
        </w:tc>
      </w:tr>
      <w:tr w:rsidR="004B4C4C" w14:paraId="62D53B62" w14:textId="77777777" w:rsidTr="00AD7031">
        <w:trPr>
          <w:cantSplit/>
        </w:trPr>
        <w:tc>
          <w:tcPr>
            <w:tcW w:w="1871" w:type="dxa"/>
          </w:tcPr>
          <w:p w14:paraId="019D0D78" w14:textId="66021B06" w:rsidR="004B4C4C" w:rsidRDefault="004B4C4C" w:rsidP="007E751D">
            <w:pPr>
              <w:pStyle w:val="TableSideHeading"/>
              <w:keepLines w:val="0"/>
            </w:pPr>
            <w:r w:rsidRPr="00AF4ADC">
              <w:rPr>
                <w:rtl/>
              </w:rPr>
              <w:t>תיקון חוק הרשות השנייה לטלוויזיה ורדיו</w:t>
            </w:r>
          </w:p>
        </w:tc>
        <w:tc>
          <w:tcPr>
            <w:tcW w:w="624" w:type="dxa"/>
          </w:tcPr>
          <w:p w14:paraId="011A7111" w14:textId="29541178" w:rsidR="004B4C4C" w:rsidRDefault="004B4C4C" w:rsidP="004B4C4C">
            <w:pPr>
              <w:pStyle w:val="TableText"/>
              <w:keepLines w:val="0"/>
            </w:pPr>
            <w:r>
              <w:rPr>
                <w:rFonts w:hint="cs"/>
                <w:rtl/>
              </w:rPr>
              <w:t>2.</w:t>
            </w:r>
          </w:p>
        </w:tc>
        <w:tc>
          <w:tcPr>
            <w:tcW w:w="7143" w:type="dxa"/>
            <w:gridSpan w:val="3"/>
          </w:tcPr>
          <w:p w14:paraId="6E703CB1" w14:textId="4B25425F" w:rsidR="004B4C4C" w:rsidRPr="00C34DE2" w:rsidRDefault="004B4C4C" w:rsidP="00AD7031">
            <w:pPr>
              <w:pStyle w:val="TableBlock"/>
            </w:pPr>
            <w:r w:rsidRPr="00FC4E9E">
              <w:rPr>
                <w:rtl/>
              </w:rPr>
              <w:t>בחוק הרשות השנייה לטלוויזיה ורדיו, התש"ן–1990</w:t>
            </w:r>
            <w:r w:rsidRPr="00AD7031">
              <w:rPr>
                <w:rFonts w:ascii="David" w:hAnsi="David"/>
                <w:sz w:val="26"/>
                <w:szCs w:val="18"/>
                <w:vertAlign w:val="superscript"/>
                <w:rtl/>
              </w:rPr>
              <w:footnoteReference w:id="3"/>
            </w:r>
            <w:r w:rsidRPr="00FC4E9E">
              <w:rPr>
                <w:rtl/>
              </w:rPr>
              <w:t xml:space="preserve">, בסעיף 88(2), בסופו יבוא "או אם הם מציגים או מתארים אדם כאובייקט מיני, מציגים את מיניותו באופן מבזה ומשפיל, או מציגים מין מסוים כנחות מבחינה חברתית, כלכלית או תרבותית או באופן </w:t>
            </w:r>
            <w:hyperlink r:id="rId12" w:tooltip="הכללה (למידה)" w:history="1">
              <w:r w:rsidRPr="00FC4E9E">
                <w:rPr>
                  <w:rtl/>
                </w:rPr>
                <w:t>מכליל</w:t>
              </w:r>
            </w:hyperlink>
            <w:r w:rsidRPr="00FC4E9E">
              <w:rPr>
                <w:rtl/>
              </w:rPr>
              <w:t>, בין היתר, בכל הנ</w:t>
            </w:r>
            <w:r>
              <w:rPr>
                <w:rtl/>
              </w:rPr>
              <w:t>וגע למאפייני אישיות או תעסוקה."</w:t>
            </w:r>
            <w:r>
              <w:rPr>
                <w:rFonts w:hint="cs"/>
                <w:rtl/>
              </w:rPr>
              <w:t>.</w:t>
            </w:r>
          </w:p>
        </w:tc>
      </w:tr>
    </w:tbl>
    <w:p w14:paraId="7F6961AE" w14:textId="77777777" w:rsidR="00E13C27" w:rsidRDefault="00E13C27" w:rsidP="0021633A">
      <w:pPr>
        <w:pStyle w:val="HeadDivreiHesber"/>
        <w:spacing w:before="0" w:after="0"/>
        <w:rPr>
          <w:rtl/>
        </w:rPr>
      </w:pPr>
    </w:p>
    <w:p w14:paraId="0CFED4FE" w14:textId="77777777" w:rsidR="00AD7031" w:rsidRDefault="00AD7031" w:rsidP="002D1EE3">
      <w:pPr>
        <w:pStyle w:val="HeadDivreiHesber"/>
        <w:rPr>
          <w:rtl/>
        </w:rPr>
      </w:pPr>
    </w:p>
    <w:p w14:paraId="66BB1383" w14:textId="77777777" w:rsidR="00AD7031" w:rsidRDefault="00AD7031" w:rsidP="002D1EE3">
      <w:pPr>
        <w:pStyle w:val="HeadDivreiHesber"/>
        <w:rPr>
          <w:rtl/>
        </w:rPr>
      </w:pPr>
      <w:r>
        <w:rPr>
          <w:rtl/>
        </w:rPr>
        <w:br w:type="page"/>
      </w:r>
    </w:p>
    <w:p w14:paraId="7F6961CA" w14:textId="076FCA93" w:rsidR="002D1EE3" w:rsidRDefault="002D1EE3" w:rsidP="002D1EE3">
      <w:pPr>
        <w:pStyle w:val="HeadDivreiHesber"/>
        <w:rPr>
          <w:rtl/>
        </w:rPr>
      </w:pPr>
      <w:r w:rsidRPr="0027450A">
        <w:rPr>
          <w:rFonts w:hint="cs"/>
          <w:rtl/>
        </w:rPr>
        <w:lastRenderedPageBreak/>
        <w:t>דברי הסבר</w:t>
      </w:r>
    </w:p>
    <w:p w14:paraId="4316DB43" w14:textId="77777777" w:rsidR="00640DBC" w:rsidRDefault="00640DBC" w:rsidP="00AD7031">
      <w:pPr>
        <w:pStyle w:val="Hesber"/>
        <w:spacing w:line="276" w:lineRule="auto"/>
        <w:rPr>
          <w:rtl/>
        </w:rPr>
      </w:pPr>
      <w:r>
        <w:rPr>
          <w:rtl/>
        </w:rPr>
        <w:t xml:space="preserve">כיום, הטלוויזיה היא אמצעי התקשורת הנפוץ ביותר ולתכנים ולדימויים המשודרים בערוצים המרכזיים יש השפעה רבה ביותר על האינפורמציה ותמונת העולם שהציבור נחשף אליהן. </w:t>
      </w:r>
    </w:p>
    <w:p w14:paraId="5EE678A6" w14:textId="77777777" w:rsidR="00640DBC" w:rsidRDefault="00640DBC" w:rsidP="00AD7031">
      <w:pPr>
        <w:pStyle w:val="Hesber"/>
        <w:spacing w:line="276" w:lineRule="auto"/>
        <w:rPr>
          <w:rtl/>
        </w:rPr>
      </w:pPr>
      <w:r>
        <w:rPr>
          <w:rtl/>
        </w:rPr>
        <w:t>פעמים רבות משודרים בערוצים המרכזיים תכנים אשר  מנצלים את הגוף, ובעיקר את דימוי גוף הנשי, לרבות של נערות ולעיתים גם של ילדות צעירות, שמציגים אותן כאובייקט מיני לשימוש, או מציגים אותן באופן סטריאוטיפי שלילי. מגמה זו מקבלת נפח גדול במיוחד בכל הנוגע לתשדירי פרסומות.</w:t>
      </w:r>
    </w:p>
    <w:p w14:paraId="4AAF53F1" w14:textId="77777777" w:rsidR="00640DBC" w:rsidRDefault="00640DBC" w:rsidP="00AD7031">
      <w:pPr>
        <w:pStyle w:val="Hesber"/>
        <w:spacing w:line="276" w:lineRule="auto"/>
        <w:rPr>
          <w:rtl/>
        </w:rPr>
      </w:pPr>
      <w:r>
        <w:rPr>
          <w:rtl/>
        </w:rPr>
        <w:t>ברור כי ייצוגים אלה של נשים הם תוצר תרבותי שמייצג את החיים היומיומיים של כולנו, אבל הם בעיקר משפיעים עליהם, מעצבים את דרך החשיבה שלנו על עצמנו, על הגוף שלנו, ואת האופן שבו נשים וגברים תופסים את עצמם ואת בני המין השני. כך, תורמים השידורים האלה ומעודדים הטרדה מינית, אלימות מינית, ויחס משפיל ומבזה לנשים ולילדות גם מחוץ לטלוויזיה, בעולם העבודה, בבית הספר, בבית וברחוב.</w:t>
      </w:r>
    </w:p>
    <w:p w14:paraId="43342402" w14:textId="77777777" w:rsidR="00640DBC" w:rsidRDefault="00640DBC" w:rsidP="00AD7031">
      <w:pPr>
        <w:pStyle w:val="Hesber"/>
        <w:spacing w:line="276" w:lineRule="auto"/>
        <w:rPr>
          <w:rtl/>
        </w:rPr>
      </w:pPr>
      <w:r>
        <w:rPr>
          <w:rtl/>
        </w:rPr>
        <w:t>בהצעת חוק זו מוצע להגביל את יכולתם של הערוצים המרכזיים, שמקבלים מהמדינה את התדרים ואת הזכות לשדר, לשדר את התכנים הפוגעניים והמזיקים האלה. הן השידור הציבורי והן השידור הפרטי המקבל זיכיון מאת הציבור חייבים לעמוד באמות מידה מחמירות, ובמסגרת זו להיות נטולי פרסומות פוגעניות וסטריאוטיפיות כלפי נשים וגברים.</w:t>
      </w:r>
    </w:p>
    <w:p w14:paraId="42564A4D" w14:textId="77777777" w:rsidR="00640DBC" w:rsidRDefault="00640DBC" w:rsidP="00AD7031">
      <w:pPr>
        <w:pStyle w:val="Hesber"/>
        <w:spacing w:line="276" w:lineRule="auto"/>
        <w:rPr>
          <w:rtl/>
        </w:rPr>
      </w:pPr>
      <w:r>
        <w:rPr>
          <w:rtl/>
        </w:rPr>
        <w:t>לפיכך, מוצע לתקן את חוק השידור הציבורי הישראלי, התשע"ד–2014 (להלן – חוק השידור הציבורי) ואת חוק הרשות השנייה לטלוויזיה ורדיו, התש"ן–1990. בתיקון לחוק השידור הציבורי, מוצע כי תינתנה סמכויות למועצת תאגיד השידור הציבורי הישראלי לקבוע אמות מידה ראויות לתשדירי הפרסומת, המשודרים בערוצי השידור הציבורי. בהתאם לכך, יתווספו לתפקידי מועצת התאגיד המנויים בסעיף 11 לחוק השידור הציבורי, גם קביעת כללי אתיקה לתשדירי הפרסומת, וכן יתוקן סעיף 75 לחוק האמור, כך שמועצת התאגיד תוכל לקבוע כללים  בדבר איסורים ומגבלות על תשדירי פרסומת לא רק "בהיותם פוגעים בטעם הטוב, ברגשות הציבור או בשלום הציבור" אלא גם בשל היותם פוגעניים או סטריאוטיפיים.</w:t>
      </w:r>
    </w:p>
    <w:p w14:paraId="036D4331" w14:textId="77777777" w:rsidR="00640DBC" w:rsidRDefault="00640DBC" w:rsidP="00AD7031">
      <w:pPr>
        <w:pStyle w:val="Hesber"/>
        <w:spacing w:line="276" w:lineRule="auto"/>
        <w:rPr>
          <w:rtl/>
        </w:rPr>
      </w:pPr>
      <w:r>
        <w:rPr>
          <w:rtl/>
        </w:rPr>
        <w:t>בתיקון לחוק הרשות השנייה לטלוויזיה ורדיו, התש"ן–1990, מוצע להסמיך את מועצת הרשות השנייה לקבוע אמות מידה ראויות לתשדירי הפרסומת, המשודרים בערוצי השידור המסחריים ובתחנות הרדיו האזורי. כך, מועצת הרשות השנייה תוכל לקבוע כללים בדבר איסורים ומגבלות על תשדירי פרסומת לא רק "בהיותם פוגעים בטעם הטוב, ברגשות הציבור או בשלום הציבור" אלא גם בשל היותם פוגעניים או סטריאוטיפיים.</w:t>
      </w:r>
    </w:p>
    <w:p w14:paraId="11B772C4" w14:textId="77777777" w:rsidR="00640DBC" w:rsidRDefault="00640DBC" w:rsidP="00AD7031">
      <w:pPr>
        <w:pStyle w:val="Hesber"/>
        <w:spacing w:line="276" w:lineRule="auto"/>
        <w:rPr>
          <w:rtl/>
        </w:rPr>
      </w:pPr>
      <w:r>
        <w:rPr>
          <w:rtl/>
        </w:rPr>
        <w:t>הצעת חוק דומה בעיקרה הונחה על שולחן הכנסת העשרים על ידי חברת הכנסת מרב מיכאלי וקבוצת חברי הכנסת (פ/4195/20).</w:t>
      </w:r>
    </w:p>
    <w:p w14:paraId="7F6961CB" w14:textId="580B8B79" w:rsidR="00E13C27" w:rsidRDefault="00AD7031" w:rsidP="00AD7031">
      <w:pPr>
        <w:pStyle w:val="Hesber"/>
        <w:spacing w:line="276" w:lineRule="auto"/>
        <w:rPr>
          <w:rtl/>
        </w:rPr>
      </w:pPr>
      <w:r>
        <w:rPr>
          <w:rtl/>
        </w:rPr>
        <w:t>הצע</w:t>
      </w:r>
      <w:r>
        <w:rPr>
          <w:rFonts w:hint="cs"/>
          <w:rtl/>
        </w:rPr>
        <w:t>ו</w:t>
      </w:r>
      <w:r>
        <w:rPr>
          <w:rtl/>
        </w:rPr>
        <w:t>ת חוק זה</w:t>
      </w:r>
      <w:r>
        <w:rPr>
          <w:rFonts w:hint="cs"/>
          <w:rtl/>
        </w:rPr>
        <w:t>ות</w:t>
      </w:r>
      <w:r>
        <w:rPr>
          <w:rtl/>
        </w:rPr>
        <w:t xml:space="preserve"> הונח</w:t>
      </w:r>
      <w:r>
        <w:rPr>
          <w:rFonts w:hint="cs"/>
          <w:rtl/>
        </w:rPr>
        <w:t>ו</w:t>
      </w:r>
      <w:r w:rsidR="00640DBC">
        <w:rPr>
          <w:rtl/>
        </w:rPr>
        <w:t xml:space="preserve"> על שולחן הכנסת העשרים ושלוש על ידי חברת הכנסת מרב מיכאלי וקבוצת חברי הכנסת (פ/1003/23) ועל שולחן הכנסת העשרים וארבע על ידי חברת הכנסת מרב מיכאלי (פ/317/24).</w:t>
      </w:r>
    </w:p>
    <w:p w14:paraId="41ACE34A" w14:textId="0F0715F4" w:rsidR="00831E9E" w:rsidRDefault="00831E9E" w:rsidP="00AD7031">
      <w:pPr>
        <w:pStyle w:val="Hesber"/>
        <w:spacing w:line="276" w:lineRule="auto"/>
        <w:rPr>
          <w:rtl/>
        </w:rPr>
      </w:pPr>
      <w:r>
        <w:rPr>
          <w:rFonts w:hint="cs"/>
          <w:rtl/>
        </w:rPr>
        <w:t>הצעת החוק זהה לפ/317/24 ולפיכך לא נבדקה מחדש על ידי הלשכה המשפטית של הכנסת.</w:t>
      </w:r>
    </w:p>
    <w:p w14:paraId="76B1E5D0" w14:textId="77777777" w:rsidR="00AD7031" w:rsidRPr="00B80DDD" w:rsidRDefault="00AD7031" w:rsidP="00AD7031">
      <w:pPr>
        <w:pStyle w:val="Hesber"/>
        <w:spacing w:line="276" w:lineRule="auto"/>
        <w:rPr>
          <w:rtl/>
        </w:rPr>
      </w:pPr>
      <w:bookmarkStart w:id="8" w:name="_GoBack"/>
      <w:bookmarkEnd w:id="8"/>
    </w:p>
    <w:p w14:paraId="3C8288E5" w14:textId="77777777" w:rsidR="000806AF" w:rsidRDefault="00AD7031">
      <w:pPr>
        <w:jc w:val="left"/>
      </w:pPr>
      <w:bookmarkStart w:id="9" w:name="selectedDocDateB"/>
      <w:bookmarkEnd w:id="9"/>
      <w:r>
        <w:rPr>
          <w:rFonts w:eastAsia="David" w:hint="cs"/>
          <w:sz w:val="26"/>
          <w:szCs w:val="26"/>
          <w:rtl/>
        </w:rPr>
        <w:t>--------------------------------</w:t>
      </w:r>
    </w:p>
    <w:p w14:paraId="76CA88B0" w14:textId="77777777" w:rsidR="000806AF" w:rsidRDefault="00AD7031">
      <w:pPr>
        <w:jc w:val="left"/>
      </w:pPr>
      <w:r>
        <w:rPr>
          <w:rFonts w:eastAsia="David" w:hint="cs"/>
          <w:sz w:val="26"/>
          <w:szCs w:val="26"/>
          <w:rtl/>
        </w:rPr>
        <w:t>הוגשה ליו"ר הכנסת והסגנים</w:t>
      </w:r>
    </w:p>
    <w:p w14:paraId="52EABD6D" w14:textId="77777777" w:rsidR="000806AF" w:rsidRDefault="00AD7031">
      <w:pPr>
        <w:jc w:val="left"/>
      </w:pPr>
      <w:r>
        <w:rPr>
          <w:rFonts w:eastAsia="David" w:hint="cs"/>
          <w:sz w:val="26"/>
          <w:szCs w:val="26"/>
          <w:rtl/>
        </w:rPr>
        <w:t>והונחה על שולחן הכנסת ביום</w:t>
      </w:r>
    </w:p>
    <w:p w14:paraId="1271D13F" w14:textId="77777777" w:rsidR="000806AF" w:rsidRDefault="00AD7031">
      <w:pPr>
        <w:jc w:val="left"/>
      </w:pPr>
      <w:r>
        <w:rPr>
          <w:rFonts w:eastAsia="David" w:hint="cs"/>
          <w:sz w:val="26"/>
          <w:szCs w:val="26"/>
          <w:rtl/>
        </w:rPr>
        <w:t xml:space="preserve">כ"ט בשבט התשפ"ג (20.02.2023) </w:t>
      </w:r>
    </w:p>
    <w:p w14:paraId="074D5355" w14:textId="77777777" w:rsidR="000806AF" w:rsidRDefault="000806AF">
      <w:pPr>
        <w:spacing w:line="276" w:lineRule="auto"/>
        <w:jc w:val="left"/>
      </w:pPr>
    </w:p>
    <w:sectPr w:rsidR="000806AF" w:rsidSect="00AD7031">
      <w:footerReference w:type="even" r:id="rId13"/>
      <w:footerReference w:type="default" r:id="rId14"/>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AD7031">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AD7031">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C930F1F" w14:textId="77777777" w:rsidR="004B4C4C" w:rsidRDefault="004B4C4C" w:rsidP="004B4C4C">
      <w:pPr>
        <w:pStyle w:val="a4"/>
      </w:pPr>
      <w:r>
        <w:rPr>
          <w:rStyle w:val="a6"/>
        </w:rPr>
        <w:footnoteRef/>
      </w:r>
      <w:r>
        <w:rPr>
          <w:rtl/>
        </w:rPr>
        <w:t xml:space="preserve"> ס"ח התשע"ד, עמ' 778.</w:t>
      </w:r>
    </w:p>
  </w:footnote>
  <w:footnote w:id="3">
    <w:p w14:paraId="300A6D45" w14:textId="77777777" w:rsidR="004B4C4C" w:rsidRDefault="004B4C4C" w:rsidP="004B4C4C">
      <w:pPr>
        <w:pStyle w:val="a4"/>
      </w:pPr>
      <w:r>
        <w:rPr>
          <w:rStyle w:val="a6"/>
        </w:rPr>
        <w:footnoteRef/>
      </w:r>
      <w:r>
        <w:rPr>
          <w:rtl/>
        </w:rPr>
        <w:t xml:space="preserve"> ס"ח התש"ן, עמ' 59.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lvlOverride w:ilvl="0">
      <w:startOverride w:val="1"/>
    </w:lvlOverride>
  </w:num>
  <w:num w:numId="18">
    <w:abstractNumId w:val="1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806AF"/>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4C4C"/>
    <w:rsid w:val="004B6625"/>
    <w:rsid w:val="004D2D82"/>
    <w:rsid w:val="004D3876"/>
    <w:rsid w:val="004E4552"/>
    <w:rsid w:val="004E6CDF"/>
    <w:rsid w:val="00553C9D"/>
    <w:rsid w:val="00562A66"/>
    <w:rsid w:val="005B064E"/>
    <w:rsid w:val="005D51AE"/>
    <w:rsid w:val="0062674B"/>
    <w:rsid w:val="006363B2"/>
    <w:rsid w:val="00640DBC"/>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31E9E"/>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AD7031"/>
    <w:rsid w:val="00AF4ADC"/>
    <w:rsid w:val="00B10265"/>
    <w:rsid w:val="00B16A99"/>
    <w:rsid w:val="00B21211"/>
    <w:rsid w:val="00B35784"/>
    <w:rsid w:val="00B733A7"/>
    <w:rsid w:val="00B75C91"/>
    <w:rsid w:val="00B80DDD"/>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DFD74A04-7357-4F2F-B5B0-88AFD4A6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031"/>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AD7031"/>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AD7031"/>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AD7031"/>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AD7031"/>
    <w:pPr>
      <w:numPr>
        <w:numId w:val="19"/>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AD7031"/>
    <w:pPr>
      <w:spacing w:line="259" w:lineRule="auto"/>
      <w:outlineLvl w:val="4"/>
    </w:pPr>
    <w:rPr>
      <w:color w:val="000000" w:themeColor="text1"/>
    </w:rPr>
  </w:style>
  <w:style w:type="character" w:default="1" w:styleId="a0">
    <w:name w:val="Default Paragraph Font"/>
    <w:uiPriority w:val="1"/>
    <w:semiHidden/>
    <w:unhideWhenUsed/>
    <w:rsid w:val="00AD7031"/>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AD7031"/>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AD7031"/>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AD7031"/>
    <w:rPr>
      <w:sz w:val="36"/>
      <w:szCs w:val="52"/>
    </w:rPr>
  </w:style>
  <w:style w:type="paragraph" w:customStyle="1" w:styleId="Cover3-Haknesset">
    <w:name w:val="Cover 3-Haknesset"/>
    <w:basedOn w:val="Cover1-Reshumot"/>
    <w:rsid w:val="00AD7031"/>
    <w:rPr>
      <w:b/>
      <w:bCs/>
      <w:spacing w:val="60"/>
    </w:rPr>
  </w:style>
  <w:style w:type="paragraph" w:customStyle="1" w:styleId="Cover4-Date">
    <w:name w:val="Cover 4-Date"/>
    <w:basedOn w:val="a"/>
    <w:rsid w:val="00AD7031"/>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AD7031"/>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AD7031"/>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AD7031"/>
    <w:pPr>
      <w:spacing w:before="120" w:after="120"/>
    </w:pPr>
    <w:rPr>
      <w:color w:val="FF0000"/>
      <w:w w:val="80"/>
    </w:rPr>
  </w:style>
  <w:style w:type="paragraph" w:styleId="a3">
    <w:name w:val="endnote text"/>
    <w:basedOn w:val="a"/>
    <w:semiHidden/>
    <w:rsid w:val="00AD7031"/>
    <w:pPr>
      <w:ind w:left="227" w:hanging="227"/>
    </w:pPr>
    <w:rPr>
      <w:sz w:val="14"/>
      <w:szCs w:val="22"/>
    </w:rPr>
  </w:style>
  <w:style w:type="paragraph" w:customStyle="1" w:styleId="TableText">
    <w:name w:val="Table Text"/>
    <w:basedOn w:val="a"/>
    <w:rsid w:val="00AD7031"/>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AD7031"/>
    <w:pPr>
      <w:outlineLvl w:val="2"/>
    </w:pPr>
  </w:style>
  <w:style w:type="paragraph" w:customStyle="1" w:styleId="TableBlock">
    <w:name w:val="Table Block"/>
    <w:basedOn w:val="TableText"/>
    <w:rsid w:val="00AD7031"/>
    <w:pPr>
      <w:jc w:val="both"/>
    </w:pPr>
  </w:style>
  <w:style w:type="paragraph" w:customStyle="1" w:styleId="TableHead">
    <w:name w:val="Table Head"/>
    <w:basedOn w:val="TableText"/>
    <w:rsid w:val="00AD7031"/>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AD7031"/>
    <w:pPr>
      <w:outlineLvl w:val="9"/>
    </w:pPr>
  </w:style>
  <w:style w:type="paragraph" w:customStyle="1" w:styleId="Hesber">
    <w:name w:val="Hesber"/>
    <w:basedOn w:val="a"/>
    <w:rsid w:val="00AD7031"/>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AD7031"/>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AD7031"/>
    <w:rPr>
      <w:vertAlign w:val="superscript"/>
    </w:rPr>
  </w:style>
  <w:style w:type="paragraph" w:customStyle="1" w:styleId="HesberHeading">
    <w:name w:val="Hesber Heading"/>
    <w:basedOn w:val="Hesber"/>
    <w:rsid w:val="00AD7031"/>
    <w:pPr>
      <w:tabs>
        <w:tab w:val="left" w:pos="624"/>
        <w:tab w:val="left" w:pos="1247"/>
      </w:tabs>
    </w:pPr>
    <w:rPr>
      <w:b/>
      <w:bCs/>
    </w:rPr>
  </w:style>
  <w:style w:type="paragraph" w:customStyle="1" w:styleId="HesberWriters">
    <w:name w:val="Hesber Writers"/>
    <w:basedOn w:val="Hesber"/>
    <w:rsid w:val="00AD7031"/>
    <w:pPr>
      <w:spacing w:before="120" w:after="120"/>
      <w:ind w:left="1418"/>
      <w:jc w:val="right"/>
    </w:pPr>
    <w:rPr>
      <w:b/>
      <w:bCs/>
    </w:rPr>
  </w:style>
  <w:style w:type="paragraph" w:customStyle="1" w:styleId="Hesber1st">
    <w:name w:val="Hesber 1st"/>
    <w:basedOn w:val="Hesber"/>
    <w:rsid w:val="00AD7031"/>
    <w:pPr>
      <w:tabs>
        <w:tab w:val="left" w:pos="680"/>
        <w:tab w:val="left" w:pos="1020"/>
      </w:tabs>
      <w:ind w:firstLine="0"/>
    </w:pPr>
  </w:style>
  <w:style w:type="character" w:styleId="a7">
    <w:name w:val="endnote reference"/>
    <w:basedOn w:val="a0"/>
    <w:semiHidden/>
    <w:rsid w:val="00AD7031"/>
    <w:rPr>
      <w:vertAlign w:val="superscript"/>
    </w:rPr>
  </w:style>
  <w:style w:type="paragraph" w:customStyle="1" w:styleId="TableBlockOutdent">
    <w:name w:val="Table BlockOutdent"/>
    <w:basedOn w:val="TableBlock"/>
    <w:rsid w:val="00AD7031"/>
    <w:pPr>
      <w:ind w:left="624" w:hanging="624"/>
    </w:pPr>
  </w:style>
  <w:style w:type="paragraph" w:styleId="a8">
    <w:name w:val="header"/>
    <w:basedOn w:val="a"/>
    <w:rsid w:val="00AD7031"/>
    <w:pPr>
      <w:tabs>
        <w:tab w:val="center" w:pos="4153"/>
        <w:tab w:val="right" w:pos="8306"/>
      </w:tabs>
    </w:pPr>
  </w:style>
  <w:style w:type="paragraph" w:styleId="a9">
    <w:name w:val="footer"/>
    <w:basedOn w:val="a"/>
    <w:rsid w:val="00AD7031"/>
    <w:pPr>
      <w:tabs>
        <w:tab w:val="center" w:pos="4153"/>
        <w:tab w:val="right" w:pos="8306"/>
      </w:tabs>
    </w:pPr>
  </w:style>
  <w:style w:type="paragraph" w:customStyle="1" w:styleId="HeadDivreiHesber">
    <w:name w:val="Head DivreiHesber"/>
    <w:basedOn w:val="a"/>
    <w:rsid w:val="00AD7031"/>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AD7031"/>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AD7031"/>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locked/>
    <w:rsid w:val="00B80DDD"/>
    <w:rPr>
      <w:rFonts w:ascii="Arial" w:eastAsia="Arial Unicode MS" w:hAnsi="Arial" w:cs="David"/>
      <w:snapToGrid w:val="0"/>
      <w:sz w:val="14"/>
    </w:rPr>
  </w:style>
  <w:style w:type="character" w:customStyle="1" w:styleId="10">
    <w:name w:val="כותרת 1 תו"/>
    <w:basedOn w:val="a0"/>
    <w:link w:val="1"/>
    <w:uiPriority w:val="9"/>
    <w:rsid w:val="00AD7031"/>
    <w:rPr>
      <w:rFonts w:asciiTheme="majorHAnsi" w:eastAsiaTheme="majorEastAsia" w:hAnsiTheme="majorHAnsi" w:cs="David"/>
      <w:bCs/>
      <w:sz w:val="32"/>
      <w:szCs w:val="36"/>
    </w:rPr>
  </w:style>
  <w:style w:type="character" w:customStyle="1" w:styleId="20">
    <w:name w:val="כותרת 2 תו"/>
    <w:basedOn w:val="a0"/>
    <w:link w:val="2"/>
    <w:rsid w:val="00AD7031"/>
    <w:rPr>
      <w:rFonts w:asciiTheme="majorHAnsi" w:eastAsiaTheme="majorEastAsia" w:hAnsiTheme="majorHAnsi" w:cs="David"/>
      <w:bCs/>
      <w:sz w:val="26"/>
      <w:szCs w:val="36"/>
      <w:u w:val="single"/>
    </w:rPr>
  </w:style>
  <w:style w:type="character" w:customStyle="1" w:styleId="30">
    <w:name w:val="כותרת 3 תו"/>
    <w:basedOn w:val="a0"/>
    <w:link w:val="3"/>
    <w:rsid w:val="00AD7031"/>
    <w:rPr>
      <w:rFonts w:asciiTheme="majorHAnsi" w:eastAsiaTheme="majorEastAsia" w:hAnsiTheme="majorHAnsi" w:cs="David"/>
      <w:sz w:val="24"/>
      <w:szCs w:val="28"/>
      <w:u w:val="double"/>
    </w:rPr>
  </w:style>
  <w:style w:type="character" w:customStyle="1" w:styleId="40">
    <w:name w:val="כותרת 4 תו"/>
    <w:basedOn w:val="a0"/>
    <w:link w:val="4"/>
    <w:uiPriority w:val="9"/>
    <w:rsid w:val="00AD7031"/>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AD7031"/>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AD7031"/>
    <w:pPr>
      <w:widowControl/>
      <w:spacing w:before="120" w:after="120"/>
      <w:outlineLvl w:val="9"/>
    </w:pPr>
    <w:rPr>
      <w:rtl/>
      <w:cs/>
    </w:rPr>
  </w:style>
  <w:style w:type="paragraph" w:styleId="TOC1">
    <w:name w:val="toc 1"/>
    <w:basedOn w:val="a"/>
    <w:next w:val="a"/>
    <w:autoRedefine/>
    <w:uiPriority w:val="39"/>
    <w:unhideWhenUsed/>
    <w:rsid w:val="00AD7031"/>
    <w:pPr>
      <w:tabs>
        <w:tab w:val="right" w:leader="dot" w:pos="9629"/>
      </w:tabs>
      <w:spacing w:after="100"/>
    </w:pPr>
    <w:rPr>
      <w:bCs/>
      <w:szCs w:val="22"/>
    </w:rPr>
  </w:style>
  <w:style w:type="paragraph" w:styleId="TOC2">
    <w:name w:val="toc 2"/>
    <w:basedOn w:val="a"/>
    <w:next w:val="a"/>
    <w:uiPriority w:val="39"/>
    <w:unhideWhenUsed/>
    <w:rsid w:val="00AD7031"/>
    <w:pPr>
      <w:tabs>
        <w:tab w:val="right" w:leader="dot" w:pos="9628"/>
      </w:tabs>
      <w:spacing w:after="100"/>
    </w:pPr>
    <w:rPr>
      <w:szCs w:val="22"/>
    </w:rPr>
  </w:style>
  <w:style w:type="character" w:styleId="Hyperlink">
    <w:name w:val="Hyperlink"/>
    <w:basedOn w:val="a0"/>
    <w:uiPriority w:val="99"/>
    <w:unhideWhenUsed/>
    <w:rsid w:val="00AD7031"/>
    <w:rPr>
      <w:color w:val="0000FF" w:themeColor="hyperlink"/>
      <w:u w:val="single"/>
    </w:rPr>
  </w:style>
  <w:style w:type="paragraph" w:styleId="TOC3">
    <w:name w:val="toc 3"/>
    <w:basedOn w:val="a"/>
    <w:next w:val="a"/>
    <w:uiPriority w:val="39"/>
    <w:unhideWhenUsed/>
    <w:rsid w:val="00AD7031"/>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AD7031"/>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AD7031"/>
    <w:pPr>
      <w:tabs>
        <w:tab w:val="right" w:leader="dot" w:pos="9628"/>
      </w:tabs>
      <w:spacing w:after="100"/>
      <w:ind w:left="567"/>
    </w:pPr>
    <w:rPr>
      <w:szCs w:val="22"/>
    </w:rPr>
  </w:style>
  <w:style w:type="paragraph" w:styleId="TOC6">
    <w:name w:val="toc 6"/>
    <w:basedOn w:val="a"/>
    <w:next w:val="a"/>
    <w:autoRedefine/>
    <w:semiHidden/>
    <w:unhideWhenUsed/>
    <w:rsid w:val="00AD7031"/>
    <w:pPr>
      <w:spacing w:after="100"/>
      <w:ind w:left="850"/>
    </w:pPr>
  </w:style>
  <w:style w:type="paragraph" w:styleId="TOC7">
    <w:name w:val="toc 7"/>
    <w:basedOn w:val="a"/>
    <w:next w:val="a"/>
    <w:autoRedefine/>
    <w:semiHidden/>
    <w:unhideWhenUsed/>
    <w:rsid w:val="00AD7031"/>
    <w:pPr>
      <w:spacing w:after="100"/>
      <w:ind w:left="1020"/>
    </w:pPr>
  </w:style>
  <w:style w:type="paragraph" w:styleId="TOC8">
    <w:name w:val="toc 8"/>
    <w:basedOn w:val="a"/>
    <w:next w:val="a"/>
    <w:autoRedefine/>
    <w:semiHidden/>
    <w:unhideWhenUsed/>
    <w:rsid w:val="00AD7031"/>
    <w:pPr>
      <w:spacing w:after="100"/>
      <w:ind w:left="1190"/>
    </w:pPr>
  </w:style>
  <w:style w:type="paragraph" w:styleId="TOC9">
    <w:name w:val="toc 9"/>
    <w:basedOn w:val="a"/>
    <w:next w:val="a"/>
    <w:autoRedefine/>
    <w:semiHidden/>
    <w:unhideWhenUsed/>
    <w:rsid w:val="00AD7031"/>
    <w:pPr>
      <w:spacing w:after="100"/>
      <w:ind w:left="1360"/>
    </w:pPr>
  </w:style>
  <w:style w:type="paragraph" w:customStyle="1" w:styleId="TableHead2">
    <w:name w:val="Table Head2"/>
    <w:basedOn w:val="TableHead"/>
    <w:qFormat/>
    <w:rsid w:val="00AD7031"/>
    <w:pPr>
      <w:outlineLvl w:val="9"/>
    </w:pPr>
  </w:style>
  <w:style w:type="paragraph" w:customStyle="1" w:styleId="TableSideHeading2">
    <w:name w:val="Table SideHeading2"/>
    <w:basedOn w:val="TableSideHeading"/>
    <w:autoRedefine/>
    <w:qFormat/>
    <w:rsid w:val="00AD7031"/>
    <w:pPr>
      <w:keepLines w:val="0"/>
      <w:outlineLvl w:val="9"/>
    </w:pPr>
  </w:style>
  <w:style w:type="paragraph" w:customStyle="1" w:styleId="0">
    <w:name w:val="סגנון שורה ראשונה:  0  ס''מ"/>
    <w:basedOn w:val="2"/>
    <w:rsid w:val="00AD7031"/>
    <w:rPr>
      <w:rFonts w:eastAsia="Times New Roman"/>
    </w:rPr>
  </w:style>
  <w:style w:type="paragraph" w:styleId="af">
    <w:name w:val="List Paragraph"/>
    <w:basedOn w:val="a"/>
    <w:uiPriority w:val="34"/>
    <w:qFormat/>
    <w:rsid w:val="00AD7031"/>
    <w:pPr>
      <w:widowControl/>
      <w:spacing w:line="259" w:lineRule="auto"/>
    </w:pPr>
    <w:rPr>
      <w:rFonts w:asciiTheme="minorHAnsi" w:hAnsiTheme="minorHAnsi"/>
      <w:sz w:val="22"/>
    </w:rPr>
  </w:style>
  <w:style w:type="table" w:styleId="af0">
    <w:name w:val="Table Grid"/>
    <w:basedOn w:val="a1"/>
    <w:rsid w:val="00AD7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AD703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AD703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AD7031"/>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AD7031"/>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e.wikipedia.org/wiki/%D7%94%D7%9B%D7%9C%D7%9C%D7%94_(%D7%9C%D7%9E%D7%99%D7%93%D7%9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e.wikipedia.org/wiki/%D7%94%D7%9B%D7%9C%D7%9C%D7%94_(%D7%9C%D7%9E%D7%99%D7%93%D7%9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67802-1A34-4C4F-9F25-E8876A5FB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F4AFE3-9455-419C-8851-785A55F44517}">
  <ds:schemaRefs>
    <ds:schemaRef ds:uri="http://purl.org/dc/dcmitype/"/>
    <ds:schemaRef ds:uri="http://schemas.microsoft.com/office/infopath/2007/PartnerControls"/>
    <ds:schemaRef ds:uri="290d5b49-c690-4c6f-bbb9-1e50dab33eee"/>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A18F40DB-C35B-4DDD-AD2B-A1549255B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587</Words>
  <Characters>3351</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8</cp:revision>
  <cp:lastPrinted>2023-02-14T11:59:00Z</cp:lastPrinted>
  <dcterms:created xsi:type="dcterms:W3CDTF">2015-04-20T09:58:00Z</dcterms:created>
  <dcterms:modified xsi:type="dcterms:W3CDTF">2023-02-14T11:59:00Z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2201134</vt:r8>
  </property>
</Properties>
</file>